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EC" w:rsidRPr="001B3415" w:rsidRDefault="001B3415" w:rsidP="00822747">
      <w:pPr>
        <w:jc w:val="center"/>
        <w:rPr>
          <w:rFonts w:ascii="Calibri" w:eastAsia="Times New Roman" w:hAnsi="Calibri" w:cs="Calibri"/>
          <w:b/>
          <w:i/>
          <w:sz w:val="40"/>
          <w:szCs w:val="40"/>
        </w:rPr>
      </w:pPr>
      <w:r>
        <w:rPr>
          <w:rFonts w:ascii="Calibri" w:eastAsia="Times New Roman" w:hAnsi="Calibri" w:cs="Calibri"/>
          <w:b/>
          <w:i/>
          <w:sz w:val="40"/>
          <w:szCs w:val="40"/>
        </w:rPr>
        <w:t>Achieve</w:t>
      </w:r>
      <w:r w:rsidR="005B7CD8" w:rsidRPr="001B3415">
        <w:rPr>
          <w:rFonts w:ascii="Calibri" w:eastAsia="Times New Roman" w:hAnsi="Calibri" w:cs="Calibri"/>
          <w:b/>
          <w:i/>
          <w:sz w:val="40"/>
          <w:szCs w:val="40"/>
        </w:rPr>
        <w:t xml:space="preserve"> the Core:</w:t>
      </w:r>
      <w:r w:rsidR="00822747">
        <w:rPr>
          <w:rFonts w:ascii="Calibri" w:eastAsia="Times New Roman" w:hAnsi="Calibri" w:cs="Calibri"/>
          <w:b/>
          <w:i/>
          <w:sz w:val="40"/>
          <w:szCs w:val="40"/>
        </w:rPr>
        <w:t xml:space="preserve">  </w:t>
      </w:r>
      <w:r w:rsidR="00F56BEC" w:rsidRPr="001B3415">
        <w:rPr>
          <w:rFonts w:ascii="Calibri" w:eastAsia="Times New Roman" w:hAnsi="Calibri" w:cs="Calibri"/>
          <w:b/>
          <w:i/>
          <w:sz w:val="40"/>
          <w:szCs w:val="40"/>
        </w:rPr>
        <w:t xml:space="preserve">Starting this </w:t>
      </w:r>
      <w:proofErr w:type="gramStart"/>
      <w:r w:rsidR="00F56BEC" w:rsidRPr="001B3415">
        <w:rPr>
          <w:rFonts w:ascii="Calibri" w:eastAsia="Times New Roman" w:hAnsi="Calibri" w:cs="Calibri"/>
          <w:b/>
          <w:i/>
          <w:sz w:val="40"/>
          <w:szCs w:val="40"/>
        </w:rPr>
        <w:t>Spring</w:t>
      </w:r>
      <w:proofErr w:type="gramEnd"/>
    </w:p>
    <w:p w:rsidR="001C7E03" w:rsidRPr="001C7E03" w:rsidRDefault="001C7E03" w:rsidP="001C7E03">
      <w:pPr>
        <w:jc w:val="center"/>
        <w:rPr>
          <w:rFonts w:ascii="Calibri" w:eastAsia="Times New Roman" w:hAnsi="Calibri" w:cs="Calibri"/>
          <w:b/>
          <w:i/>
          <w:sz w:val="30"/>
          <w:szCs w:val="40"/>
        </w:rPr>
      </w:pPr>
      <w:r w:rsidRPr="001C7E03">
        <w:rPr>
          <w:rFonts w:ascii="Calibri" w:eastAsia="Times New Roman" w:hAnsi="Calibri" w:cs="Calibri"/>
          <w:b/>
          <w:i/>
          <w:sz w:val="30"/>
          <w:szCs w:val="40"/>
        </w:rPr>
        <w:t xml:space="preserve">GE Foundation </w:t>
      </w:r>
      <w:r>
        <w:rPr>
          <w:rFonts w:ascii="Calibri" w:eastAsia="Times New Roman" w:hAnsi="Calibri" w:cs="Calibri"/>
          <w:b/>
          <w:i/>
          <w:sz w:val="30"/>
          <w:szCs w:val="40"/>
        </w:rPr>
        <w:t>and Student Achievement Partners</w:t>
      </w:r>
    </w:p>
    <w:p w:rsidR="00F56BEC" w:rsidRPr="00822747" w:rsidRDefault="00F56BEC" w:rsidP="00F56BEC">
      <w:pPr>
        <w:jc w:val="center"/>
        <w:rPr>
          <w:rFonts w:ascii="Calibri" w:eastAsia="Times New Roman" w:hAnsi="Calibri" w:cs="Calibri"/>
          <w:b/>
          <w:sz w:val="30"/>
        </w:rPr>
      </w:pPr>
      <w:r w:rsidRPr="00822747">
        <w:rPr>
          <w:rFonts w:ascii="Calibri" w:eastAsia="Times New Roman" w:hAnsi="Calibri" w:cs="Calibri"/>
          <w:sz w:val="30"/>
        </w:rPr>
        <w:t xml:space="preserve"> </w:t>
      </w:r>
      <w:r w:rsidRPr="00822747">
        <w:rPr>
          <w:rFonts w:ascii="Calibri" w:eastAsia="Times New Roman" w:hAnsi="Calibri" w:cs="Calibri"/>
          <w:b/>
          <w:sz w:val="30"/>
        </w:rPr>
        <w:t>Standards Immersion Institute</w:t>
      </w:r>
    </w:p>
    <w:p w:rsidR="00F56BEC" w:rsidRPr="00880F22" w:rsidRDefault="00F56BEC" w:rsidP="00F56BEC">
      <w:pPr>
        <w:jc w:val="center"/>
        <w:rPr>
          <w:rFonts w:ascii="Calibri" w:eastAsia="Times New Roman" w:hAnsi="Calibri" w:cs="Calibri"/>
          <w:b/>
        </w:rPr>
      </w:pPr>
      <w:r w:rsidRPr="00880F22">
        <w:rPr>
          <w:rFonts w:ascii="Calibri" w:eastAsia="Times New Roman" w:hAnsi="Calibri" w:cs="Calibri"/>
          <w:b/>
        </w:rPr>
        <w:t>January 19-20, 2012</w:t>
      </w:r>
    </w:p>
    <w:p w:rsidR="00F56BEC" w:rsidRPr="00880F22" w:rsidRDefault="00F56BEC" w:rsidP="00F56BEC">
      <w:pPr>
        <w:jc w:val="center"/>
        <w:rPr>
          <w:rFonts w:ascii="Calibri" w:eastAsia="Times New Roman" w:hAnsi="Calibri" w:cs="Calibri"/>
          <w:b/>
        </w:rPr>
      </w:pPr>
      <w:r w:rsidRPr="00880F22">
        <w:rPr>
          <w:rFonts w:ascii="Calibri" w:eastAsia="Times New Roman" w:hAnsi="Calibri" w:cs="Calibri"/>
          <w:b/>
        </w:rPr>
        <w:t>New York, NY</w:t>
      </w:r>
    </w:p>
    <w:p w:rsidR="00F56BEC" w:rsidRPr="00882E09" w:rsidRDefault="00F56BEC" w:rsidP="00F56BEC">
      <w:pPr>
        <w:jc w:val="center"/>
        <w:rPr>
          <w:rFonts w:ascii="Calibri" w:eastAsia="Times New Roman" w:hAnsi="Calibri" w:cs="Calibri"/>
        </w:rPr>
      </w:pPr>
    </w:p>
    <w:p w:rsidR="00F56BEC" w:rsidRPr="000F0418" w:rsidRDefault="00F56BEC" w:rsidP="00F56BEC">
      <w:pPr>
        <w:jc w:val="center"/>
        <w:rPr>
          <w:rFonts w:ascii="Calibri" w:eastAsia="Times New Roman" w:hAnsi="Calibri" w:cs="Calibri"/>
          <w:u w:val="single"/>
        </w:rPr>
      </w:pPr>
      <w:r w:rsidRPr="000F0418">
        <w:rPr>
          <w:rFonts w:ascii="Calibri" w:eastAsia="Times New Roman" w:hAnsi="Calibri" w:cs="Calibri"/>
          <w:u w:val="single"/>
        </w:rPr>
        <w:t>AGENDA</w:t>
      </w:r>
    </w:p>
    <w:p w:rsidR="00F56BEC" w:rsidRPr="00882E09" w:rsidRDefault="00F56BEC" w:rsidP="00F56BEC">
      <w:pPr>
        <w:rPr>
          <w:rFonts w:ascii="Calibri" w:eastAsia="Times New Roman" w:hAnsi="Calibri" w:cs="Calibri"/>
          <w:u w:val="single"/>
        </w:rPr>
      </w:pPr>
    </w:p>
    <w:p w:rsidR="00F56BEC" w:rsidRPr="00DB0C4E" w:rsidRDefault="00F56BEC" w:rsidP="00F56BEC">
      <w:pPr>
        <w:pStyle w:val="Comment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Standards Immersion </w:t>
      </w:r>
      <w:r w:rsidRPr="00DB0C4E">
        <w:rPr>
          <w:rFonts w:ascii="Calibri" w:hAnsi="Calibri" w:cs="Calibri"/>
          <w:sz w:val="24"/>
          <w:szCs w:val="24"/>
        </w:rPr>
        <w:t>Institute will focus specifically</w:t>
      </w:r>
      <w:r>
        <w:rPr>
          <w:rFonts w:ascii="Calibri" w:hAnsi="Calibri" w:cs="Calibri"/>
          <w:sz w:val="24"/>
          <w:szCs w:val="24"/>
        </w:rPr>
        <w:t xml:space="preserve"> on the work that must be done this school year</w:t>
      </w:r>
      <w:r w:rsidRPr="00DB0C4E">
        <w:rPr>
          <w:rFonts w:ascii="Calibri" w:hAnsi="Calibri" w:cs="Calibri"/>
          <w:sz w:val="24"/>
          <w:szCs w:val="24"/>
        </w:rPr>
        <w:t xml:space="preserve"> in order to best support implementation of the Common Core State Standards.  The aim is </w:t>
      </w:r>
      <w:r>
        <w:rPr>
          <w:rFonts w:ascii="Calibri" w:hAnsi="Calibri" w:cs="Calibri"/>
          <w:sz w:val="24"/>
          <w:szCs w:val="24"/>
          <w:lang w:val="en-US"/>
        </w:rPr>
        <w:t xml:space="preserve">to </w:t>
      </w:r>
      <w:r w:rsidRPr="00DB0C4E">
        <w:rPr>
          <w:rFonts w:ascii="Calibri" w:hAnsi="Calibri" w:cs="Calibri"/>
          <w:sz w:val="24"/>
          <w:szCs w:val="24"/>
        </w:rPr>
        <w:t>render educators expert in the Standards and to identify as clearly and concretely as possible the actions that will align school and d</w:t>
      </w:r>
      <w:r>
        <w:rPr>
          <w:rFonts w:ascii="Calibri" w:hAnsi="Calibri" w:cs="Calibri"/>
          <w:sz w:val="24"/>
          <w:szCs w:val="24"/>
        </w:rPr>
        <w:t xml:space="preserve">istrict work to the Standards. </w:t>
      </w:r>
    </w:p>
    <w:p w:rsidR="00F56BEC" w:rsidRPr="00882E09" w:rsidRDefault="00F56BEC" w:rsidP="00F56BEC">
      <w:pPr>
        <w:rPr>
          <w:rFonts w:ascii="Calibri" w:eastAsia="Times New Roman" w:hAnsi="Calibri" w:cs="Calibri"/>
        </w:rPr>
      </w:pPr>
    </w:p>
    <w:p w:rsidR="00F56BEC" w:rsidRPr="00882E09" w:rsidRDefault="00F56BEC" w:rsidP="00F56BE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Each</w:t>
      </w:r>
      <w:r w:rsidRPr="00882E09">
        <w:rPr>
          <w:rFonts w:ascii="Calibri" w:eastAsia="Times New Roman" w:hAnsi="Calibri" w:cs="Calibri"/>
        </w:rPr>
        <w:t xml:space="preserve"> session will provide focused knowledge, strategies, and tools for transitioning to the Common Core and driving teacher and student performance.</w:t>
      </w:r>
      <w:r>
        <w:rPr>
          <w:rFonts w:ascii="Calibri" w:eastAsia="Times New Roman" w:hAnsi="Calibri" w:cs="Calibri"/>
        </w:rPr>
        <w:t xml:space="preserve"> </w:t>
      </w:r>
      <w:r w:rsidRPr="00882E09">
        <w:rPr>
          <w:rFonts w:ascii="Calibri" w:eastAsia="Times New Roman" w:hAnsi="Calibri" w:cs="Calibri"/>
        </w:rPr>
        <w:t xml:space="preserve">The Institute will require active participation throughout the two days to best </w:t>
      </w:r>
      <w:r>
        <w:rPr>
          <w:rFonts w:ascii="Calibri" w:eastAsia="Times New Roman" w:hAnsi="Calibri" w:cs="Calibri"/>
        </w:rPr>
        <w:t>prepare participants for</w:t>
      </w:r>
      <w:r w:rsidRPr="00882E09">
        <w:rPr>
          <w:rFonts w:ascii="Calibri" w:eastAsia="Times New Roman" w:hAnsi="Calibri" w:cs="Calibri"/>
        </w:rPr>
        <w:t xml:space="preserve"> the work that lies ahead following this two-day experience. </w:t>
      </w:r>
    </w:p>
    <w:p w:rsidR="00F56BEC" w:rsidRPr="00882E09" w:rsidRDefault="00F56BEC" w:rsidP="00F56BEC">
      <w:pPr>
        <w:rPr>
          <w:rFonts w:ascii="Calibri" w:eastAsia="Times New Roman" w:hAnsi="Calibri" w:cs="Calibri"/>
          <w:u w:val="single"/>
        </w:rPr>
      </w:pPr>
    </w:p>
    <w:p w:rsidR="00F56BEC" w:rsidRPr="000F0418" w:rsidRDefault="00F56BEC" w:rsidP="00F56BEC">
      <w:pPr>
        <w:jc w:val="center"/>
        <w:rPr>
          <w:rFonts w:ascii="Calibri" w:eastAsia="Times New Roman" w:hAnsi="Calibri" w:cs="Calibri"/>
          <w:u w:val="single"/>
        </w:rPr>
      </w:pPr>
      <w:r w:rsidRPr="000F0418">
        <w:rPr>
          <w:rFonts w:ascii="Calibri" w:eastAsia="Times New Roman" w:hAnsi="Calibri" w:cs="Calibri"/>
          <w:u w:val="single"/>
        </w:rPr>
        <w:t>DAY ONE</w:t>
      </w:r>
      <w:r w:rsidRPr="000F0418">
        <w:rPr>
          <w:rFonts w:ascii="Calibri" w:eastAsia="Times New Roman" w:hAnsi="Calibri" w:cs="Calibri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10"/>
      </w:tblGrid>
      <w:tr w:rsidR="00F56BEC" w:rsidRPr="00882E09" w:rsidTr="0002571F">
        <w:tc>
          <w:tcPr>
            <w:tcW w:w="9558" w:type="dxa"/>
            <w:gridSpan w:val="2"/>
            <w:shd w:val="clear" w:color="auto" w:fill="4BACC6"/>
          </w:tcPr>
          <w:p w:rsidR="00F56BEC" w:rsidRPr="00C00A3E" w:rsidRDefault="00F56BEC" w:rsidP="0002571F">
            <w:pPr>
              <w:rPr>
                <w:rFonts w:ascii="Calibri" w:eastAsia="Times New Roman" w:hAnsi="Calibri" w:cs="Calibri"/>
                <w:b/>
              </w:rPr>
            </w:pPr>
            <w:r w:rsidRPr="00C00A3E">
              <w:rPr>
                <w:rFonts w:ascii="Calibri" w:eastAsia="Times New Roman" w:hAnsi="Calibri" w:cs="Calibri"/>
                <w:b/>
                <w:sz w:val="22"/>
                <w:szCs w:val="22"/>
              </w:rPr>
              <w:t>Thursday, January 19</w:t>
            </w:r>
            <w:r w:rsidRPr="00C00A3E">
              <w:rPr>
                <w:rFonts w:ascii="Calibri" w:eastAsia="Times New Roman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C00A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7:30 - 8:15</w:t>
            </w: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Breakfast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</w:t>
            </w:r>
            <w:r w:rsidRPr="00882E09">
              <w:rPr>
                <w:rFonts w:ascii="Calibri" w:eastAsia="Times New Roman" w:hAnsi="Calibri" w:cs="Calibri"/>
                <w:i/>
                <w:sz w:val="22"/>
                <w:szCs w:val="22"/>
              </w:rPr>
              <w:t>Gramercy Suite</w:t>
            </w: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F56B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8:15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9:00</w:t>
            </w: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  <w:i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Welcome and Overview of the Standards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</w:t>
            </w:r>
            <w:r w:rsidRPr="00882E09">
              <w:rPr>
                <w:rFonts w:ascii="Calibri" w:eastAsia="Times New Roman" w:hAnsi="Calibri" w:cs="Calibri"/>
                <w:i/>
                <w:sz w:val="22"/>
                <w:szCs w:val="22"/>
              </w:rPr>
              <w:t>Murray Hill Suite</w:t>
            </w:r>
          </w:p>
          <w:p w:rsidR="00F56BEC" w:rsidRPr="00882E09" w:rsidRDefault="00F56BEC" w:rsidP="00F56BE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Introduction of our shared work</w:t>
            </w:r>
          </w:p>
          <w:p w:rsidR="00F56BEC" w:rsidRPr="00882E09" w:rsidRDefault="00F56BEC" w:rsidP="00F56BE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Key objectives of the Institute</w:t>
            </w:r>
          </w:p>
          <w:p w:rsidR="00F56BEC" w:rsidRPr="00882E09" w:rsidRDefault="00F56BEC" w:rsidP="00F56BE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Defining a successful outcome </w:t>
            </w:r>
          </w:p>
          <w:p w:rsidR="00F56BEC" w:rsidRPr="00882E09" w:rsidRDefault="00F56BEC" w:rsidP="0002571F">
            <w:pPr>
              <w:pStyle w:val="ListParagraph"/>
              <w:ind w:left="1080"/>
              <w:rPr>
                <w:rFonts w:ascii="Calibri" w:eastAsia="Times New Roman" w:hAnsi="Calibri" w:cs="Calibri"/>
              </w:rPr>
            </w:pP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F56BEC">
            <w:pPr>
              <w:jc w:val="center"/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9:00 –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9:45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0F22" w:rsidRDefault="00F56BEC" w:rsidP="0002571F">
            <w:pPr>
              <w:rPr>
                <w:rFonts w:ascii="Calibri" w:eastAsia="Times New Roman" w:hAnsi="Calibri" w:cs="Calibri"/>
                <w:i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Shifts in ELA/Literacy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</w:t>
            </w:r>
            <w:r w:rsidRPr="00882E09">
              <w:rPr>
                <w:rFonts w:ascii="Calibri" w:eastAsia="Times New Roman" w:hAnsi="Calibri" w:cs="Calibri"/>
                <w:i/>
                <w:sz w:val="22"/>
                <w:szCs w:val="22"/>
              </w:rPr>
              <w:t>Murray Hill Suite</w:t>
            </w:r>
          </w:p>
          <w:p w:rsidR="00F56BEC" w:rsidRPr="00F56BEC" w:rsidRDefault="00F56BEC" w:rsidP="00F56BEC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Participants will learn the key instructional implications of the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ELA/literacy standards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, including their evidence base and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potential 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impact on student achievement</w:t>
            </w:r>
          </w:p>
          <w:p w:rsidR="00F56BEC" w:rsidRPr="00882E09" w:rsidRDefault="00F56BEC" w:rsidP="0002571F">
            <w:pPr>
              <w:pStyle w:val="ListParagraph"/>
              <w:ind w:left="0"/>
              <w:rPr>
                <w:rFonts w:ascii="Calibri" w:eastAsia="Times New Roman" w:hAnsi="Calibri" w:cs="Calibri"/>
              </w:rPr>
            </w:pPr>
          </w:p>
        </w:tc>
      </w:tr>
      <w:tr w:rsidR="00F56BEC" w:rsidRPr="00882E09" w:rsidTr="0002571F">
        <w:trPr>
          <w:trHeight w:val="1772"/>
        </w:trPr>
        <w:tc>
          <w:tcPr>
            <w:tcW w:w="1548" w:type="dxa"/>
            <w:shd w:val="clear" w:color="auto" w:fill="DAEEF3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Default="00F56BEC" w:rsidP="00F56BEC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F56B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9:45-10:30</w:t>
            </w: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0F22" w:rsidRDefault="00F56BEC" w:rsidP="0002571F">
            <w:pPr>
              <w:rPr>
                <w:rStyle w:val="A1"/>
                <w:rFonts w:ascii="Calibri" w:eastAsia="Times New Roman" w:hAnsi="Calibri" w:cs="Calibri"/>
                <w:b w:val="0"/>
                <w:bCs w:val="0"/>
                <w:i/>
                <w:sz w:val="22"/>
                <w:szCs w:val="22"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Shifts in Mathematics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</w:t>
            </w:r>
            <w:r w:rsidRPr="00882E09">
              <w:rPr>
                <w:rFonts w:ascii="Calibri" w:eastAsia="Times New Roman" w:hAnsi="Calibri" w:cs="Calibri"/>
                <w:i/>
                <w:sz w:val="22"/>
                <w:szCs w:val="22"/>
              </w:rPr>
              <w:t>Murray Hill Suite</w:t>
            </w:r>
          </w:p>
          <w:p w:rsidR="00F56BEC" w:rsidRDefault="00F56BEC" w:rsidP="00F56BE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Participants will learn the key instructional implications of the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mathematics standards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, as well as their evidence base and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potential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impact on student achievement</w:t>
            </w:r>
          </w:p>
          <w:p w:rsidR="00F56BEC" w:rsidRDefault="00F56BEC" w:rsidP="00F56BEC">
            <w:pPr>
              <w:pStyle w:val="ListParagraph"/>
              <w:ind w:left="1080"/>
              <w:rPr>
                <w:rFonts w:ascii="Calibri" w:eastAsia="Times New Roman" w:hAnsi="Calibri" w:cs="Calibri"/>
              </w:rPr>
            </w:pPr>
          </w:p>
          <w:p w:rsidR="00F56BEC" w:rsidRDefault="00F56BEC" w:rsidP="00F56BEC">
            <w:pPr>
              <w:pStyle w:val="ListParagraph"/>
              <w:ind w:left="1080"/>
              <w:rPr>
                <w:rFonts w:ascii="Calibri" w:eastAsia="Times New Roman" w:hAnsi="Calibri" w:cs="Calibri"/>
              </w:rPr>
            </w:pPr>
          </w:p>
          <w:p w:rsidR="005B7CD8" w:rsidRPr="00F56BEC" w:rsidRDefault="005B7CD8" w:rsidP="00F56BEC">
            <w:pPr>
              <w:pStyle w:val="ListParagraph"/>
              <w:ind w:left="1080"/>
              <w:rPr>
                <w:rFonts w:ascii="Calibri" w:eastAsia="Times New Roman" w:hAnsi="Calibri" w:cs="Calibri"/>
              </w:rPr>
            </w:pP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10:40- 11:25</w:t>
            </w:r>
          </w:p>
        </w:tc>
        <w:tc>
          <w:tcPr>
            <w:tcW w:w="8010" w:type="dxa"/>
            <w:shd w:val="clear" w:color="auto" w:fill="auto"/>
          </w:tcPr>
          <w:p w:rsidR="005B7CD8" w:rsidRDefault="005B7CD8" w:rsidP="00F56BEC">
            <w:pPr>
              <w:rPr>
                <w:rFonts w:ascii="Calibri" w:eastAsia="Times New Roman" w:hAnsi="Calibri" w:cs="Calibri"/>
                <w:b/>
              </w:rPr>
            </w:pPr>
          </w:p>
          <w:p w:rsidR="00822747" w:rsidRDefault="00822747" w:rsidP="00F56BEC">
            <w:pPr>
              <w:rPr>
                <w:rFonts w:ascii="Calibri" w:eastAsia="Times New Roman" w:hAnsi="Calibri" w:cs="Calibri"/>
                <w:b/>
              </w:rPr>
            </w:pPr>
          </w:p>
          <w:p w:rsidR="00F56BEC" w:rsidRDefault="00F56BEC" w:rsidP="00F56BEC">
            <w:pPr>
              <w:rPr>
                <w:rFonts w:ascii="Calibri" w:eastAsia="Times New Roman" w:hAnsi="Calibri" w:cs="Calibri"/>
              </w:rPr>
            </w:pPr>
            <w:r w:rsidRPr="00F56BEC">
              <w:rPr>
                <w:rFonts w:ascii="Calibri" w:eastAsia="Times New Roman" w:hAnsi="Calibri" w:cs="Calibri"/>
                <w:b/>
                <w:sz w:val="22"/>
                <w:szCs w:val="22"/>
              </w:rPr>
              <w:t>Practice with the ELA/Literacy shifts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—</w:t>
            </w:r>
            <w:r w:rsidRPr="00F56BEC">
              <w:rPr>
                <w:rFonts w:ascii="Calibri" w:eastAsia="Times New Roman" w:hAnsi="Calibri" w:cs="Calibri"/>
                <w:i/>
                <w:sz w:val="22"/>
                <w:szCs w:val="22"/>
              </w:rPr>
              <w:t>Breakout rooms</w:t>
            </w:r>
            <w:r w:rsidR="00822747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with district teams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F56BEC" w:rsidRPr="00882E09" w:rsidRDefault="00F56BEC" w:rsidP="00F56BE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In small groups, participants will have the opportunity to work directly with the shifts and discuss how to bring this message back to their individual settings</w:t>
            </w:r>
          </w:p>
          <w:p w:rsidR="00F56BEC" w:rsidRPr="00F56BEC" w:rsidRDefault="00F56BEC" w:rsidP="00F56BEC">
            <w:pPr>
              <w:rPr>
                <w:rFonts w:ascii="Calibri" w:eastAsia="Times New Roman" w:hAnsi="Calibri" w:cs="Calibri"/>
              </w:rPr>
            </w:pP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Pr="00882E09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11:25-12:10</w:t>
            </w: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Default="00F56BEC" w:rsidP="0002571F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Practice with</w:t>
            </w:r>
            <w:r w:rsidR="005B7CD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the Mathematics S</w:t>
            </w: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hifts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</w:rPr>
              <w:t>Breakout rooms</w:t>
            </w:r>
            <w:r w:rsidR="00822747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with district teams</w:t>
            </w:r>
          </w:p>
          <w:p w:rsidR="00F56BEC" w:rsidRPr="00882E09" w:rsidRDefault="00F56BEC" w:rsidP="00F56BE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In small groups, participants will have the opportunity to work directly with the shifts and discuss how to bring this message back to their individual settings</w:t>
            </w:r>
          </w:p>
          <w:p w:rsidR="00F56BEC" w:rsidRPr="00F56BEC" w:rsidRDefault="00F56BEC" w:rsidP="00F56BEC">
            <w:pPr>
              <w:rPr>
                <w:rFonts w:ascii="Calibri" w:eastAsia="Times New Roman" w:hAnsi="Calibri" w:cs="Calibri"/>
              </w:rPr>
            </w:pP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Pr="00882E09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12:10 – 1:00</w:t>
            </w: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  <w:i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Lunch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and Literacy Activity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</w:t>
            </w:r>
            <w:r w:rsidRPr="00882E09">
              <w:rPr>
                <w:rFonts w:ascii="Calibri" w:eastAsia="Times New Roman" w:hAnsi="Calibri" w:cs="Calibri"/>
                <w:i/>
                <w:sz w:val="22"/>
                <w:szCs w:val="22"/>
              </w:rPr>
              <w:t>Gramercy Suite</w:t>
            </w: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  <w:i/>
              </w:rPr>
            </w:pP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Pr="00882E09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5B7CD8">
            <w:pPr>
              <w:jc w:val="center"/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1:00 – 4:00</w:t>
            </w: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0F22" w:rsidRDefault="00F56BEC" w:rsidP="0002571F">
            <w:pPr>
              <w:rPr>
                <w:rFonts w:ascii="Calibri" w:eastAsia="Times New Roman" w:hAnsi="Calibri" w:cs="Calibri"/>
                <w:b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Work closely with literacy and math teams in break out groups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—</w:t>
            </w:r>
            <w:r w:rsidRPr="008A440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Breakout </w:t>
            </w:r>
            <w:r w:rsidR="00822747">
              <w:rPr>
                <w:rFonts w:ascii="Calibri" w:eastAsia="Times New Roman" w:hAnsi="Calibri" w:cs="Calibri"/>
                <w:i/>
                <w:sz w:val="22"/>
                <w:szCs w:val="22"/>
              </w:rPr>
              <w:t>r</w:t>
            </w:r>
            <w:r w:rsidRPr="008A4408">
              <w:rPr>
                <w:rFonts w:ascii="Calibri" w:eastAsia="Times New Roman" w:hAnsi="Calibri" w:cs="Calibri"/>
                <w:i/>
                <w:sz w:val="22"/>
                <w:szCs w:val="22"/>
              </w:rPr>
              <w:t>ooms</w:t>
            </w:r>
            <w:r w:rsidR="00822747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with content teams</w:t>
            </w:r>
          </w:p>
          <w:p w:rsidR="00F56BEC" w:rsidRPr="00882E09" w:rsidRDefault="00F56BEC" w:rsidP="00F56BEC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K-12 Math</w:t>
            </w:r>
            <w:r w:rsidR="00822747">
              <w:rPr>
                <w:rFonts w:ascii="Calibri" w:eastAsia="Times New Roman" w:hAnsi="Calibri" w:cs="Calibri"/>
                <w:sz w:val="22"/>
                <w:szCs w:val="22"/>
              </w:rPr>
              <w:t xml:space="preserve"> (A/B)</w:t>
            </w:r>
            <w:r w:rsidR="005B7CD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– Understanding and achieving focus on the major work of each grade</w:t>
            </w:r>
          </w:p>
          <w:p w:rsidR="00F56BEC" w:rsidRPr="00882E09" w:rsidRDefault="005B7CD8" w:rsidP="00F56BEC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K-5</w:t>
            </w:r>
            <w:r w:rsidR="00F56BEC"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ELA/Literacy – Understanding the role of v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ocabulary and syntax in reading; u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nderstanding and practicing with text dependent questions</w:t>
            </w:r>
          </w:p>
          <w:p w:rsidR="00F56BEC" w:rsidRPr="00880F22" w:rsidRDefault="00F56BEC" w:rsidP="00F56BEC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Grades 6-12 ELA/Literacy</w:t>
            </w:r>
            <w:r w:rsidR="00822747">
              <w:rPr>
                <w:rFonts w:ascii="Calibri" w:eastAsia="Times New Roman" w:hAnsi="Calibri" w:cs="Calibri"/>
                <w:sz w:val="22"/>
                <w:szCs w:val="22"/>
              </w:rPr>
              <w:t xml:space="preserve"> (A/B)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 Understanding and practicing with text dependent questions </w:t>
            </w:r>
          </w:p>
          <w:p w:rsidR="00F56BEC" w:rsidRPr="00882E09" w:rsidRDefault="00F56BEC" w:rsidP="0002571F">
            <w:pPr>
              <w:pStyle w:val="ListParagraph"/>
              <w:ind w:left="1080"/>
              <w:rPr>
                <w:rFonts w:ascii="Calibri" w:eastAsia="Times New Roman" w:hAnsi="Calibri" w:cs="Calibri"/>
              </w:rPr>
            </w:pPr>
          </w:p>
        </w:tc>
      </w:tr>
      <w:tr w:rsidR="00EC032D" w:rsidRPr="00882E09" w:rsidTr="0002571F">
        <w:tc>
          <w:tcPr>
            <w:tcW w:w="1548" w:type="dxa"/>
            <w:shd w:val="clear" w:color="auto" w:fill="DAEEF3"/>
          </w:tcPr>
          <w:p w:rsidR="00EC032D" w:rsidRDefault="00EC032D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EC032D" w:rsidRDefault="00EC032D" w:rsidP="005B7CD8">
            <w:pPr>
              <w:jc w:val="center"/>
              <w:rPr>
                <w:rFonts w:ascii="Calibri" w:eastAsia="Times New Roman" w:hAnsi="Calibri" w:cs="Calibri"/>
              </w:rPr>
            </w:pPr>
          </w:p>
          <w:p w:rsidR="00EC032D" w:rsidRPr="00882E09" w:rsidRDefault="00EC032D" w:rsidP="005B7CD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4:15 – 5:00</w:t>
            </w:r>
          </w:p>
        </w:tc>
        <w:tc>
          <w:tcPr>
            <w:tcW w:w="8010" w:type="dxa"/>
            <w:shd w:val="clear" w:color="auto" w:fill="auto"/>
          </w:tcPr>
          <w:p w:rsidR="00EC032D" w:rsidRDefault="00EC032D" w:rsidP="00EC032D">
            <w:pPr>
              <w:rPr>
                <w:rFonts w:ascii="Calibri" w:eastAsia="Times New Roman" w:hAnsi="Calibri" w:cs="Calibri"/>
                <w:b/>
              </w:rPr>
            </w:pPr>
          </w:p>
          <w:p w:rsidR="00EC032D" w:rsidRPr="00882E09" w:rsidRDefault="00EC032D" w:rsidP="00EC032D">
            <w:pPr>
              <w:rPr>
                <w:rFonts w:ascii="Calibri" w:eastAsia="Times New Roman" w:hAnsi="Calibri" w:cs="Calibri"/>
                <w:i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Reflection on the day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</w:t>
            </w:r>
            <w:r w:rsidRPr="00882E09">
              <w:rPr>
                <w:rFonts w:ascii="Calibri" w:eastAsia="Times New Roman" w:hAnsi="Calibri" w:cs="Calibri"/>
                <w:i/>
                <w:sz w:val="22"/>
                <w:szCs w:val="22"/>
              </w:rPr>
              <w:t>Murray Hill Suite</w:t>
            </w:r>
          </w:p>
          <w:p w:rsidR="00EC032D" w:rsidRPr="00882E09" w:rsidRDefault="00EC032D" w:rsidP="00EC032D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Key takeaways </w:t>
            </w:r>
          </w:p>
          <w:p w:rsidR="00EC032D" w:rsidRPr="00882E09" w:rsidRDefault="00EC032D" w:rsidP="00EC032D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Looking ahead to tomorrow</w:t>
            </w:r>
          </w:p>
          <w:p w:rsidR="00EC032D" w:rsidRPr="00882E09" w:rsidRDefault="00EC032D" w:rsidP="0002571F">
            <w:pPr>
              <w:rPr>
                <w:rFonts w:ascii="Calibri" w:eastAsia="Times New Roman" w:hAnsi="Calibri" w:cs="Calibri"/>
              </w:rPr>
            </w:pPr>
          </w:p>
        </w:tc>
      </w:tr>
    </w:tbl>
    <w:p w:rsidR="00F56BEC" w:rsidRDefault="00F56BEC" w:rsidP="00F56BEC">
      <w:pPr>
        <w:rPr>
          <w:rFonts w:ascii="Calibri" w:eastAsia="Times New Roman" w:hAnsi="Calibri" w:cs="Calibri"/>
          <w:sz w:val="22"/>
          <w:szCs w:val="22"/>
        </w:rPr>
      </w:pP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  <w:r w:rsidRPr="00882E09">
        <w:rPr>
          <w:rFonts w:ascii="Calibri" w:eastAsia="Times New Roman" w:hAnsi="Calibri" w:cs="Calibri"/>
          <w:sz w:val="22"/>
          <w:szCs w:val="22"/>
        </w:rPr>
        <w:br/>
      </w: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F56BEC" w:rsidRDefault="00F56BEC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024B2A" w:rsidRDefault="00024B2A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024B2A" w:rsidRDefault="00024B2A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024B2A" w:rsidRDefault="00024B2A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024B2A" w:rsidRDefault="00024B2A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024B2A" w:rsidRDefault="00024B2A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5B7CD8" w:rsidRDefault="005B7CD8" w:rsidP="00F56BEC">
      <w:pPr>
        <w:rPr>
          <w:rFonts w:ascii="Calibri" w:eastAsia="Times New Roman" w:hAnsi="Calibri" w:cs="Calibri"/>
          <w:sz w:val="22"/>
          <w:szCs w:val="22"/>
          <w:u w:val="single"/>
        </w:rPr>
      </w:pPr>
    </w:p>
    <w:p w:rsidR="00F56BEC" w:rsidRPr="000F0418" w:rsidRDefault="00F56BEC" w:rsidP="00F56BEC">
      <w:pPr>
        <w:jc w:val="center"/>
        <w:rPr>
          <w:rFonts w:ascii="Calibri" w:eastAsia="Times New Roman" w:hAnsi="Calibri" w:cs="Calibri"/>
          <w:u w:val="single"/>
        </w:rPr>
      </w:pPr>
      <w:r w:rsidRPr="000F0418">
        <w:rPr>
          <w:rFonts w:ascii="Calibri" w:eastAsia="Times New Roman" w:hAnsi="Calibri" w:cs="Calibri"/>
          <w:u w:val="single"/>
        </w:rPr>
        <w:t xml:space="preserve">DAY TWO </w:t>
      </w:r>
    </w:p>
    <w:p w:rsidR="00F56BEC" w:rsidRPr="00882E09" w:rsidRDefault="00F56BEC" w:rsidP="00F56BEC">
      <w:pPr>
        <w:jc w:val="center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10"/>
      </w:tblGrid>
      <w:tr w:rsidR="00F56BEC" w:rsidRPr="00882E09" w:rsidTr="0002571F">
        <w:tc>
          <w:tcPr>
            <w:tcW w:w="9558" w:type="dxa"/>
            <w:gridSpan w:val="2"/>
            <w:shd w:val="clear" w:color="auto" w:fill="4BACC6"/>
          </w:tcPr>
          <w:p w:rsidR="00F56BEC" w:rsidRPr="00880F22" w:rsidRDefault="00F56BEC" w:rsidP="0002571F">
            <w:pPr>
              <w:rPr>
                <w:rFonts w:ascii="Calibri" w:eastAsia="Times New Roman" w:hAnsi="Calibri" w:cs="Calibri"/>
                <w:b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Friday,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January 20</w:t>
            </w: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8:00 – 9:00</w:t>
            </w: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0F22" w:rsidRDefault="00F56BEC" w:rsidP="0002571F">
            <w:pPr>
              <w:rPr>
                <w:rFonts w:ascii="Calibri" w:eastAsia="Times New Roman" w:hAnsi="Calibri" w:cs="Calibri"/>
                <w:b/>
                <w:i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Breakfast </w:t>
            </w:r>
            <w:r w:rsidRPr="00880F22">
              <w:rPr>
                <w:rFonts w:ascii="Calibri" w:eastAsia="Times New Roman" w:hAnsi="Calibri" w:cs="Calibri"/>
                <w:sz w:val="22"/>
                <w:szCs w:val="22"/>
              </w:rPr>
              <w:t xml:space="preserve">– </w:t>
            </w:r>
            <w:r w:rsidRPr="00880F22">
              <w:rPr>
                <w:rFonts w:ascii="Calibri" w:eastAsia="Times New Roman" w:hAnsi="Calibri" w:cs="Calibri"/>
                <w:i/>
                <w:sz w:val="22"/>
                <w:szCs w:val="22"/>
              </w:rPr>
              <w:t>Gramercy Suite</w:t>
            </w: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9:00 – 12:00</w:t>
            </w: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0F22" w:rsidRDefault="00F56BEC" w:rsidP="0002571F">
            <w:pPr>
              <w:rPr>
                <w:rFonts w:ascii="Calibri" w:eastAsia="Times New Roman" w:hAnsi="Calibri" w:cs="Calibri"/>
                <w:b/>
                <w:i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Meet in breakout groups from Thursday – </w:t>
            </w:r>
            <w:r w:rsidRPr="00880F22">
              <w:rPr>
                <w:rFonts w:ascii="Calibri" w:eastAsia="Times New Roman" w:hAnsi="Calibri" w:cs="Calibri"/>
                <w:i/>
                <w:sz w:val="22"/>
                <w:szCs w:val="22"/>
              </w:rPr>
              <w:t>Breakout Rooms</w:t>
            </w:r>
          </w:p>
          <w:p w:rsidR="00F56BEC" w:rsidRPr="00882E09" w:rsidRDefault="00F56BEC" w:rsidP="00F56BEC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Grades K-12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Math</w:t>
            </w:r>
            <w:r w:rsidR="00822747">
              <w:rPr>
                <w:rFonts w:ascii="Calibri" w:eastAsia="Times New Roman" w:hAnsi="Calibri" w:cs="Calibri"/>
                <w:sz w:val="22"/>
                <w:szCs w:val="22"/>
              </w:rPr>
              <w:t xml:space="preserve"> (A/B)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Reviewing for focus and quality in instructional materials</w:t>
            </w:r>
          </w:p>
          <w:p w:rsidR="00F56BEC" w:rsidRPr="00882E09" w:rsidRDefault="005B7CD8" w:rsidP="00F56BEC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K-5 </w:t>
            </w:r>
            <w:r w:rsidR="00F56BEC">
              <w:rPr>
                <w:rFonts w:ascii="Calibri" w:eastAsia="Times New Roman" w:hAnsi="Calibri" w:cs="Calibri"/>
                <w:sz w:val="22"/>
                <w:szCs w:val="22"/>
              </w:rPr>
              <w:t>ELA/Literacy:</w:t>
            </w:r>
            <w:r w:rsidR="00F56BEC"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Reviewing existing materials</w:t>
            </w:r>
          </w:p>
          <w:p w:rsidR="00F56BEC" w:rsidRPr="00880F22" w:rsidRDefault="00F56BEC" w:rsidP="00F56BEC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Grades 6-12 ELA/Literacy</w:t>
            </w:r>
            <w:r w:rsidR="001E55E1">
              <w:rPr>
                <w:rFonts w:ascii="Calibri" w:eastAsia="Times New Roman" w:hAnsi="Calibri" w:cs="Calibri"/>
                <w:sz w:val="22"/>
                <w:szCs w:val="22"/>
              </w:rPr>
              <w:t xml:space="preserve"> (A/B)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 Reviewing existing materials</w:t>
            </w:r>
          </w:p>
          <w:p w:rsidR="00F56BEC" w:rsidRPr="00882E09" w:rsidRDefault="00F56BEC" w:rsidP="0002571F">
            <w:pPr>
              <w:pStyle w:val="ListParagraph"/>
              <w:ind w:left="1080"/>
              <w:rPr>
                <w:rFonts w:ascii="Calibri" w:eastAsia="Times New Roman" w:hAnsi="Calibri" w:cs="Calibri"/>
              </w:rPr>
            </w:pP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12:00 – 1:00</w:t>
            </w: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1E55E1">
            <w:pPr>
              <w:rPr>
                <w:rFonts w:ascii="Calibri" w:eastAsia="Times New Roman" w:hAnsi="Calibri" w:cs="Calibri"/>
                <w:i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Lunch</w:t>
            </w:r>
            <w:r w:rsidR="001E55E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– </w:t>
            </w:r>
            <w:r w:rsidRPr="00882E09">
              <w:rPr>
                <w:rFonts w:ascii="Calibri" w:eastAsia="Times New Roman" w:hAnsi="Calibri" w:cs="Calibri"/>
                <w:i/>
                <w:sz w:val="22"/>
                <w:szCs w:val="22"/>
              </w:rPr>
              <w:t>Gramercy Suite</w:t>
            </w:r>
          </w:p>
        </w:tc>
      </w:tr>
      <w:tr w:rsidR="00F56BEC" w:rsidRPr="00882E09" w:rsidTr="0002571F">
        <w:tc>
          <w:tcPr>
            <w:tcW w:w="1548" w:type="dxa"/>
            <w:shd w:val="clear" w:color="auto" w:fill="DAEEF3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EC770D" w:rsidP="0002571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1:00 – 3:00</w:t>
            </w: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010" w:type="dxa"/>
            <w:shd w:val="clear" w:color="auto" w:fill="auto"/>
          </w:tcPr>
          <w:p w:rsidR="00F56BEC" w:rsidRPr="00882E09" w:rsidRDefault="00F56BEC" w:rsidP="0002571F">
            <w:pPr>
              <w:rPr>
                <w:rFonts w:ascii="Calibri" w:eastAsia="Times New Roman" w:hAnsi="Calibri" w:cs="Calibri"/>
              </w:rPr>
            </w:pPr>
          </w:p>
          <w:p w:rsidR="00F56BEC" w:rsidRPr="00882E09" w:rsidRDefault="00F56BEC" w:rsidP="0002571F">
            <w:pPr>
              <w:rPr>
                <w:rFonts w:ascii="Calibri" w:eastAsia="Times New Roman" w:hAnsi="Calibri" w:cs="Calibri"/>
                <w:i/>
              </w:rPr>
            </w:pPr>
            <w:r w:rsidRPr="00880F22">
              <w:rPr>
                <w:rFonts w:ascii="Calibri" w:eastAsia="Times New Roman" w:hAnsi="Calibri" w:cs="Calibri"/>
                <w:b/>
                <w:sz w:val="22"/>
                <w:szCs w:val="22"/>
              </w:rPr>
              <w:t>Measurement and Implementation</w:t>
            </w: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 – </w:t>
            </w:r>
            <w:r w:rsidRPr="00882E09">
              <w:rPr>
                <w:rFonts w:ascii="Calibri" w:eastAsia="Times New Roman" w:hAnsi="Calibri" w:cs="Calibri"/>
                <w:i/>
                <w:sz w:val="22"/>
                <w:szCs w:val="22"/>
              </w:rPr>
              <w:t>Murray Hill Suite</w:t>
            </w:r>
          </w:p>
          <w:p w:rsidR="00F56BEC" w:rsidRPr="00882E09" w:rsidRDefault="00F56BEC" w:rsidP="00F56BEC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 xml:space="preserve">Ensuring this message gets to the classroom </w:t>
            </w:r>
          </w:p>
          <w:p w:rsidR="00F56BEC" w:rsidRPr="00882E09" w:rsidRDefault="00F56BEC" w:rsidP="00F56BEC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882E09">
              <w:rPr>
                <w:rFonts w:ascii="Calibri" w:eastAsia="Times New Roman" w:hAnsi="Calibri" w:cs="Calibri"/>
                <w:sz w:val="22"/>
                <w:szCs w:val="22"/>
              </w:rPr>
              <w:t>Focusing on metrics that support implementation</w:t>
            </w:r>
          </w:p>
          <w:p w:rsidR="00F56BEC" w:rsidRPr="00882E09" w:rsidRDefault="00F56BEC" w:rsidP="0002571F">
            <w:pPr>
              <w:pStyle w:val="ListParagraph"/>
              <w:ind w:left="1080"/>
              <w:rPr>
                <w:rFonts w:ascii="Calibri" w:eastAsia="Times New Roman" w:hAnsi="Calibri" w:cs="Calibri"/>
              </w:rPr>
            </w:pPr>
          </w:p>
        </w:tc>
      </w:tr>
    </w:tbl>
    <w:p w:rsidR="00F56BEC" w:rsidRDefault="00F56BEC" w:rsidP="00F56BEC">
      <w:pPr>
        <w:pStyle w:val="PlainText"/>
      </w:pPr>
    </w:p>
    <w:p w:rsidR="00F56BEC" w:rsidRPr="00882E09" w:rsidRDefault="00F56BEC" w:rsidP="00F56BEC">
      <w:pPr>
        <w:rPr>
          <w:rFonts w:ascii="Calibri" w:hAnsi="Calibri" w:cs="Calibri"/>
        </w:rPr>
      </w:pPr>
    </w:p>
    <w:p w:rsidR="00A25643" w:rsidRDefault="00097DE4"/>
    <w:sectPr w:rsidR="00A25643" w:rsidSect="00AA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lypha LT W01 65 Bold">
    <w:altName w:val="Glypha LT W01 65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0F"/>
    <w:multiLevelType w:val="hybridMultilevel"/>
    <w:tmpl w:val="BA82A3CE"/>
    <w:lvl w:ilvl="0" w:tplc="D7465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B373B"/>
    <w:multiLevelType w:val="hybridMultilevel"/>
    <w:tmpl w:val="39503804"/>
    <w:lvl w:ilvl="0" w:tplc="D7465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318E2"/>
    <w:multiLevelType w:val="hybridMultilevel"/>
    <w:tmpl w:val="9B8E016C"/>
    <w:lvl w:ilvl="0" w:tplc="D7465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6B3E4C"/>
    <w:multiLevelType w:val="hybridMultilevel"/>
    <w:tmpl w:val="2F0A11D0"/>
    <w:lvl w:ilvl="0" w:tplc="D7465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406DC9"/>
    <w:multiLevelType w:val="hybridMultilevel"/>
    <w:tmpl w:val="F2648246"/>
    <w:lvl w:ilvl="0" w:tplc="D7465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12207"/>
    <w:multiLevelType w:val="hybridMultilevel"/>
    <w:tmpl w:val="42B0B1A6"/>
    <w:lvl w:ilvl="0" w:tplc="D7465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5F69FE"/>
    <w:multiLevelType w:val="hybridMultilevel"/>
    <w:tmpl w:val="01709744"/>
    <w:lvl w:ilvl="0" w:tplc="D7465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E1384C"/>
    <w:multiLevelType w:val="hybridMultilevel"/>
    <w:tmpl w:val="0B9CAAE0"/>
    <w:lvl w:ilvl="0" w:tplc="D7465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652E6C"/>
    <w:multiLevelType w:val="hybridMultilevel"/>
    <w:tmpl w:val="2F60D532"/>
    <w:lvl w:ilvl="0" w:tplc="D7465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E65DDA"/>
    <w:multiLevelType w:val="hybridMultilevel"/>
    <w:tmpl w:val="81FAEC7E"/>
    <w:lvl w:ilvl="0" w:tplc="D7465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6BEC"/>
    <w:rsid w:val="00024B2A"/>
    <w:rsid w:val="001B3415"/>
    <w:rsid w:val="001C7E03"/>
    <w:rsid w:val="001E55E1"/>
    <w:rsid w:val="002118D9"/>
    <w:rsid w:val="0040360B"/>
    <w:rsid w:val="0051717B"/>
    <w:rsid w:val="005B7CD8"/>
    <w:rsid w:val="005F3C80"/>
    <w:rsid w:val="00774827"/>
    <w:rsid w:val="00782680"/>
    <w:rsid w:val="00822747"/>
    <w:rsid w:val="008F427F"/>
    <w:rsid w:val="00EC032D"/>
    <w:rsid w:val="00EC770D"/>
    <w:rsid w:val="00F56BEC"/>
    <w:rsid w:val="00FA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EC"/>
    <w:pPr>
      <w:ind w:left="720"/>
      <w:contextualSpacing/>
    </w:pPr>
  </w:style>
  <w:style w:type="character" w:customStyle="1" w:styleId="A1">
    <w:name w:val="A1"/>
    <w:uiPriority w:val="99"/>
    <w:rsid w:val="00F56BEC"/>
    <w:rPr>
      <w:rFonts w:cs="Glypha LT W01 65 Bold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6BEC"/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6BEC"/>
    <w:rPr>
      <w:rFonts w:ascii="Consolas" w:eastAsia="Calibri" w:hAnsi="Consolas" w:cs="Times New Roman"/>
      <w:sz w:val="21"/>
      <w:szCs w:val="21"/>
      <w:lang/>
    </w:rPr>
  </w:style>
  <w:style w:type="character" w:styleId="CommentReference">
    <w:name w:val="annotation reference"/>
    <w:uiPriority w:val="99"/>
    <w:semiHidden/>
    <w:unhideWhenUsed/>
    <w:rsid w:val="00F5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EC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EC"/>
    <w:rPr>
      <w:rFonts w:ascii="Times New Roman" w:eastAsia="Calibri" w:hAnsi="Times New Roman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C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D8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D8"/>
    <w:rPr>
      <w:rFonts w:ascii="Times New Roman" w:eastAsia="Calibri" w:hAnsi="Times New Roman" w:cs="Times New Roman"/>
      <w:b/>
      <w:bCs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EC"/>
    <w:pPr>
      <w:ind w:left="720"/>
      <w:contextualSpacing/>
    </w:pPr>
  </w:style>
  <w:style w:type="character" w:customStyle="1" w:styleId="A1">
    <w:name w:val="A1"/>
    <w:uiPriority w:val="99"/>
    <w:rsid w:val="00F56BEC"/>
    <w:rPr>
      <w:rFonts w:cs="Glypha LT W01 65 Bold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6BEC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6BEC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F5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EC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E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C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D8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D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Sandra</cp:lastModifiedBy>
  <cp:revision>4</cp:revision>
  <dcterms:created xsi:type="dcterms:W3CDTF">2012-01-12T16:07:00Z</dcterms:created>
  <dcterms:modified xsi:type="dcterms:W3CDTF">2012-01-12T18:45:00Z</dcterms:modified>
</cp:coreProperties>
</file>